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D5" w:rsidRDefault="00D404D5" w:rsidP="00C647DE">
      <w:pPr>
        <w:spacing w:after="0" w:line="240" w:lineRule="auto"/>
        <w:jc w:val="center"/>
        <w:rPr>
          <w:rFonts w:ascii="Times New Roman" w:hAnsi="Times New Roman"/>
          <w:b/>
          <w:lang w:val="en-US" w:eastAsia="en-US"/>
        </w:rPr>
      </w:pPr>
    </w:p>
    <w:p w:rsidR="00D404D5" w:rsidRDefault="00D404D5" w:rsidP="0006528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D404D5" w:rsidRDefault="00D404D5" w:rsidP="0006528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D404D5" w:rsidRDefault="00D404D5" w:rsidP="0006528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Хохольского муниципального района от 01.11.2016г. № 8</w:t>
      </w:r>
    </w:p>
    <w:p w:rsidR="00D404D5" w:rsidRPr="00065284" w:rsidRDefault="00D404D5" w:rsidP="00C647D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D404D5" w:rsidRPr="00065284" w:rsidRDefault="00D404D5" w:rsidP="00C647D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D404D5" w:rsidRPr="00C647DE" w:rsidRDefault="00D404D5" w:rsidP="00C647D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C647DE">
        <w:rPr>
          <w:rFonts w:ascii="Times New Roman" w:hAnsi="Times New Roman"/>
          <w:b/>
          <w:lang w:eastAsia="en-US"/>
        </w:rPr>
        <w:t>ТИПОВАЯ ТЕХНОЛОГИЧЕСКАЯ СХЕМА</w:t>
      </w:r>
    </w:p>
    <w:p w:rsidR="00D404D5" w:rsidRPr="00C647DE" w:rsidRDefault="00D404D5" w:rsidP="00C647D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C647DE">
        <w:rPr>
          <w:rFonts w:ascii="Times New Roman" w:hAnsi="Times New Roman"/>
          <w:b/>
          <w:lang w:eastAsia="en-US"/>
        </w:rPr>
        <w:t>ПРЕД</w:t>
      </w:r>
      <w:r>
        <w:rPr>
          <w:rFonts w:ascii="Times New Roman" w:hAnsi="Times New Roman"/>
          <w:b/>
          <w:lang w:eastAsia="en-US"/>
        </w:rPr>
        <w:t>ОСТАВЛЕНИЯ МУНИЦИПАЛЬНОЙ УСЛУГИ</w:t>
      </w:r>
    </w:p>
    <w:p w:rsidR="00D404D5" w:rsidRPr="00C647DE" w:rsidRDefault="00D404D5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D404D5" w:rsidRPr="00C647DE" w:rsidTr="007E4AA9">
        <w:tc>
          <w:tcPr>
            <w:tcW w:w="959" w:type="dxa"/>
            <w:vAlign w:val="center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E4AA9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E4AA9">
              <w:rPr>
                <w:rFonts w:ascii="Times New Roman" w:hAnsi="Times New Roman"/>
                <w:b/>
                <w:lang w:eastAsia="en-US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E4AA9">
              <w:rPr>
                <w:rFonts w:ascii="Times New Roman" w:hAnsi="Times New Roman"/>
                <w:b/>
                <w:lang w:eastAsia="en-US"/>
              </w:rPr>
              <w:t>Значение параметра/состояние</w:t>
            </w:r>
          </w:p>
        </w:tc>
      </w:tr>
      <w:tr w:rsidR="00D404D5" w:rsidRPr="00C647DE" w:rsidTr="007E4AA9">
        <w:tc>
          <w:tcPr>
            <w:tcW w:w="959" w:type="dxa"/>
            <w:vAlign w:val="center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E4AA9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5245" w:type="dxa"/>
            <w:vAlign w:val="center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E4AA9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8931" w:type="dxa"/>
            <w:vAlign w:val="center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E4AA9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</w:tr>
      <w:tr w:rsidR="00D404D5" w:rsidRPr="00C647DE" w:rsidTr="007E4AA9">
        <w:tc>
          <w:tcPr>
            <w:tcW w:w="959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5245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D404D5" w:rsidRPr="00300FD9" w:rsidRDefault="00D404D5" w:rsidP="007A6CB0">
            <w:pPr>
              <w:pStyle w:val="BodyText"/>
              <w:ind w:right="283"/>
              <w:rPr>
                <w:rFonts w:ascii="Arial" w:hAnsi="Arial" w:cs="Arial"/>
                <w:sz w:val="20"/>
              </w:rPr>
            </w:pPr>
            <w:r w:rsidRPr="00300FD9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Яблоченского</w:t>
            </w:r>
            <w:r w:rsidRPr="00300FD9">
              <w:rPr>
                <w:rFonts w:ascii="Arial" w:hAnsi="Arial" w:cs="Arial"/>
                <w:sz w:val="20"/>
              </w:rPr>
              <w:t xml:space="preserve"> с</w:t>
            </w:r>
            <w:r>
              <w:rPr>
                <w:rFonts w:ascii="Arial" w:hAnsi="Arial" w:cs="Arial"/>
                <w:sz w:val="20"/>
              </w:rPr>
              <w:t>ельского поселения Хохольского</w:t>
            </w:r>
            <w:r w:rsidRPr="00300FD9">
              <w:rPr>
                <w:rFonts w:ascii="Arial" w:hAnsi="Arial" w:cs="Arial"/>
                <w:sz w:val="20"/>
              </w:rPr>
              <w:t xml:space="preserve"> муниципального района Воронежской области. </w:t>
            </w:r>
          </w:p>
          <w:p w:rsidR="00D404D5" w:rsidRPr="007A6CB0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</w:p>
        </w:tc>
      </w:tr>
      <w:tr w:rsidR="00D404D5" w:rsidRPr="00C647DE" w:rsidTr="007E4AA9">
        <w:tc>
          <w:tcPr>
            <w:tcW w:w="959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245" w:type="dxa"/>
          </w:tcPr>
          <w:p w:rsidR="00D404D5" w:rsidRPr="007A6CB0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6CB0">
              <w:rPr>
                <w:rFonts w:ascii="Times New Roman" w:hAnsi="Times New Roman"/>
                <w:lang w:eastAsia="en-US"/>
              </w:rPr>
              <w:t>Номер услуги в федеральном реестре</w:t>
            </w:r>
            <w:r w:rsidRPr="007A6CB0">
              <w:rPr>
                <w:rFonts w:ascii="Times New Roman" w:hAnsi="Times New Roman"/>
                <w:vertAlign w:val="superscript"/>
                <w:lang w:eastAsia="en-US"/>
              </w:rPr>
              <w:footnoteReference w:id="1"/>
            </w:r>
          </w:p>
        </w:tc>
        <w:tc>
          <w:tcPr>
            <w:tcW w:w="8931" w:type="dxa"/>
          </w:tcPr>
          <w:p w:rsidR="00D404D5" w:rsidRPr="007A6CB0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A6CB0">
              <w:rPr>
                <w:rFonts w:ascii="Times New Roman" w:hAnsi="Times New Roman"/>
              </w:rPr>
              <w:t>36401000100</w:t>
            </w:r>
            <w:r w:rsidRPr="007A6CB0">
              <w:rPr>
                <w:rFonts w:ascii="Times New Roman" w:hAnsi="Times New Roman"/>
                <w:lang w:val="en-US"/>
              </w:rPr>
              <w:t>01298824</w:t>
            </w:r>
          </w:p>
        </w:tc>
      </w:tr>
      <w:tr w:rsidR="00D404D5" w:rsidRPr="00C647DE" w:rsidTr="007E4AA9">
        <w:tc>
          <w:tcPr>
            <w:tcW w:w="959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245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D404D5" w:rsidRPr="007E4AA9" w:rsidRDefault="00D404D5" w:rsidP="007E4AA9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Предварительное согласование предоставления земельного участка, находящегося в муниц</w:t>
            </w:r>
            <w:r w:rsidRPr="007E4AA9">
              <w:rPr>
                <w:rFonts w:ascii="Times New Roman" w:hAnsi="Times New Roman"/>
                <w:lang w:eastAsia="en-US"/>
              </w:rPr>
              <w:t>и</w:t>
            </w:r>
            <w:r w:rsidRPr="007E4AA9">
              <w:rPr>
                <w:rFonts w:ascii="Times New Roman" w:hAnsi="Times New Roman"/>
                <w:lang w:eastAsia="en-US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D404D5" w:rsidRPr="00C647DE" w:rsidTr="007E4AA9">
        <w:tc>
          <w:tcPr>
            <w:tcW w:w="959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245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Предварительное согласование предоставления земельного участка, находящегося в муниц</w:t>
            </w:r>
            <w:r w:rsidRPr="007E4AA9">
              <w:rPr>
                <w:rFonts w:ascii="Times New Roman" w:hAnsi="Times New Roman"/>
                <w:lang w:eastAsia="en-US"/>
              </w:rPr>
              <w:t>и</w:t>
            </w:r>
            <w:r w:rsidRPr="007E4AA9">
              <w:rPr>
                <w:rFonts w:ascii="Times New Roman" w:hAnsi="Times New Roman"/>
                <w:lang w:eastAsia="en-US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D404D5" w:rsidRPr="00C647DE" w:rsidTr="007E4AA9">
        <w:tc>
          <w:tcPr>
            <w:tcW w:w="959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245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Административный регламент предоставления мун</w:t>
            </w:r>
            <w:r w:rsidRPr="007E4AA9">
              <w:rPr>
                <w:rFonts w:ascii="Times New Roman" w:hAnsi="Times New Roman"/>
                <w:lang w:eastAsia="en-US"/>
              </w:rPr>
              <w:t>и</w:t>
            </w:r>
            <w:r w:rsidRPr="007E4AA9">
              <w:rPr>
                <w:rFonts w:ascii="Times New Roman" w:hAnsi="Times New Roman"/>
                <w:lang w:eastAsia="en-US"/>
              </w:rPr>
              <w:t>ципальной услуги</w:t>
            </w:r>
            <w:r w:rsidRPr="007E4AA9">
              <w:rPr>
                <w:rFonts w:ascii="Times New Roman" w:hAnsi="Times New Roman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931" w:type="dxa"/>
          </w:tcPr>
          <w:p w:rsidR="00D404D5" w:rsidRPr="007A6CB0" w:rsidRDefault="00D404D5" w:rsidP="007A6CB0">
            <w:pPr>
              <w:ind w:right="283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7A6CB0">
              <w:rPr>
                <w:rFonts w:ascii="Times New Roman" w:hAnsi="Times New Roman"/>
              </w:rPr>
              <w:t>Утвержден постановлением администрации Яблоченского сельского поселения Хохол</w:t>
            </w:r>
            <w:r w:rsidRPr="007A6CB0">
              <w:rPr>
                <w:rFonts w:ascii="Times New Roman" w:hAnsi="Times New Roman"/>
              </w:rPr>
              <w:t>ь</w:t>
            </w:r>
            <w:r w:rsidRPr="007A6CB0">
              <w:rPr>
                <w:rFonts w:ascii="Times New Roman" w:hAnsi="Times New Roman"/>
              </w:rPr>
              <w:t>ского муниципального района Воронежской области от 11.12.2015г. № 89 «Об утве</w:t>
            </w:r>
            <w:r w:rsidRPr="007A6CB0">
              <w:rPr>
                <w:rFonts w:ascii="Times New Roman" w:hAnsi="Times New Roman"/>
              </w:rPr>
              <w:t>р</w:t>
            </w:r>
            <w:r w:rsidRPr="007A6CB0">
              <w:rPr>
                <w:rFonts w:ascii="Times New Roman" w:hAnsi="Times New Roman"/>
              </w:rPr>
              <w:t>ждении  административного регламента  по предоставлению муниципальной  услуги 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</w:t>
            </w:r>
            <w:r w:rsidRPr="007A6CB0">
              <w:rPr>
                <w:rFonts w:ascii="Times New Roman" w:hAnsi="Times New Roman"/>
              </w:rPr>
              <w:t>з</w:t>
            </w:r>
            <w:r w:rsidRPr="007A6CB0">
              <w:rPr>
                <w:rFonts w:ascii="Times New Roman" w:hAnsi="Times New Roman"/>
              </w:rPr>
              <w:t>граничена»( в  изменении от 18.02.2016г. постан №11)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</w:p>
        </w:tc>
      </w:tr>
      <w:tr w:rsidR="00D404D5" w:rsidRPr="00C647DE" w:rsidTr="007E4AA9">
        <w:tc>
          <w:tcPr>
            <w:tcW w:w="959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245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Перечень «подуслуг»</w:t>
            </w:r>
          </w:p>
        </w:tc>
        <w:tc>
          <w:tcPr>
            <w:tcW w:w="8931" w:type="dxa"/>
          </w:tcPr>
          <w:p w:rsidR="00D404D5" w:rsidRPr="007E4AA9" w:rsidRDefault="00D404D5" w:rsidP="007E4AA9">
            <w:pPr>
              <w:spacing w:after="0" w:line="240" w:lineRule="auto"/>
              <w:ind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нет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</w:p>
        </w:tc>
      </w:tr>
      <w:tr w:rsidR="00D404D5" w:rsidRPr="00C647DE" w:rsidTr="007E4AA9">
        <w:tc>
          <w:tcPr>
            <w:tcW w:w="959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5245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Способы оценки качества предоставления муниц</w:t>
            </w:r>
            <w:r w:rsidRPr="007E4AA9">
              <w:rPr>
                <w:rFonts w:ascii="Times New Roman" w:hAnsi="Times New Roman"/>
                <w:lang w:eastAsia="en-US"/>
              </w:rPr>
              <w:t>и</w:t>
            </w:r>
            <w:r w:rsidRPr="007E4AA9">
              <w:rPr>
                <w:rFonts w:ascii="Times New Roman" w:hAnsi="Times New Roman"/>
                <w:lang w:eastAsia="en-US"/>
              </w:rPr>
              <w:t>пальной услуги</w:t>
            </w:r>
            <w:r w:rsidRPr="007E4AA9">
              <w:rPr>
                <w:rFonts w:ascii="Times New Roman" w:hAnsi="Times New Roman"/>
                <w:vertAlign w:val="superscript"/>
                <w:lang w:eastAsia="en-US"/>
              </w:rPr>
              <w:footnoteReference w:id="3"/>
            </w:r>
          </w:p>
        </w:tc>
        <w:tc>
          <w:tcPr>
            <w:tcW w:w="8931" w:type="dxa"/>
          </w:tcPr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- радиотелефонная связь;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- терминальные устройства в МФЦ;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- терминальные устройства в органе местного самоуправления;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- единый портал государственных услуг;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- региональный портал государственных услуг;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- официальный сайт органа;</w:t>
            </w:r>
          </w:p>
          <w:p w:rsidR="00D404D5" w:rsidRPr="007E4AA9" w:rsidRDefault="00D404D5" w:rsidP="007E4AA9">
            <w:pPr>
              <w:spacing w:after="0" w:line="240" w:lineRule="auto"/>
              <w:ind w:left="-102" w:right="-102"/>
              <w:rPr>
                <w:rFonts w:ascii="Times New Roman" w:hAnsi="Times New Roman"/>
                <w:lang w:eastAsia="en-US"/>
              </w:rPr>
            </w:pPr>
            <w:r w:rsidRPr="007E4AA9">
              <w:rPr>
                <w:rFonts w:ascii="Times New Roman" w:hAnsi="Times New Roman"/>
                <w:lang w:eastAsia="en-US"/>
              </w:rPr>
              <w:t>- другие способы</w:t>
            </w:r>
          </w:p>
        </w:tc>
      </w:tr>
    </w:tbl>
    <w:p w:rsidR="00D404D5" w:rsidRPr="00C647DE" w:rsidRDefault="00D404D5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lang w:eastAsia="en-US"/>
        </w:rPr>
        <w:br w:type="page"/>
      </w:r>
    </w:p>
    <w:p w:rsidR="00D404D5" w:rsidRPr="00C647DE" w:rsidRDefault="00D404D5" w:rsidP="00FB775B">
      <w:pPr>
        <w:spacing w:line="240" w:lineRule="auto"/>
        <w:rPr>
          <w:rFonts w:ascii="Times New Roman" w:hAnsi="Times New Roman"/>
          <w:b/>
        </w:rPr>
        <w:sectPr w:rsidR="00D404D5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04D5" w:rsidRPr="00C647DE" w:rsidRDefault="00D404D5" w:rsidP="00C647D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C647DE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D404D5" w:rsidRPr="00C647DE" w:rsidTr="00C647DE">
        <w:tc>
          <w:tcPr>
            <w:tcW w:w="2659" w:type="dxa"/>
            <w:gridSpan w:val="2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D404D5" w:rsidRPr="00C647DE" w:rsidTr="00C647DE">
        <w:tc>
          <w:tcPr>
            <w:tcW w:w="1242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шлины), в том числе для МФЦ</w:t>
            </w:r>
          </w:p>
        </w:tc>
        <w:tc>
          <w:tcPr>
            <w:tcW w:w="1843" w:type="dxa"/>
            <w:vMerge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404D5" w:rsidRPr="00C647DE" w:rsidTr="00C647DE">
        <w:tc>
          <w:tcPr>
            <w:tcW w:w="124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404D5" w:rsidRPr="00C647DE" w:rsidRDefault="00D404D5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</w:t>
            </w:r>
          </w:p>
        </w:tc>
        <w:tc>
          <w:tcPr>
            <w:tcW w:w="1702" w:type="dxa"/>
          </w:tcPr>
          <w:p w:rsidR="00D404D5" w:rsidRPr="00C647DE" w:rsidRDefault="00D404D5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11</w:t>
            </w:r>
          </w:p>
        </w:tc>
      </w:tr>
      <w:tr w:rsidR="00D404D5" w:rsidRPr="00C647DE" w:rsidTr="00C647DE">
        <w:tc>
          <w:tcPr>
            <w:tcW w:w="15418" w:type="dxa"/>
            <w:gridSpan w:val="11"/>
          </w:tcPr>
          <w:p w:rsidR="00D404D5" w:rsidRPr="00C54063" w:rsidRDefault="00D404D5" w:rsidP="00C647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D404D5" w:rsidRPr="00C647DE" w:rsidTr="00C647DE">
        <w:tc>
          <w:tcPr>
            <w:tcW w:w="1242" w:type="dxa"/>
          </w:tcPr>
          <w:p w:rsidR="00D404D5" w:rsidRPr="00C647DE" w:rsidRDefault="00D404D5" w:rsidP="001C5ECC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404D5" w:rsidRPr="00C647DE" w:rsidRDefault="00D404D5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D404D5" w:rsidRPr="00C647DE" w:rsidRDefault="00D404D5" w:rsidP="0074374F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D404D5" w:rsidRPr="00C647DE" w:rsidRDefault="00D404D5" w:rsidP="0074374F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404D5" w:rsidRPr="00C647DE" w:rsidRDefault="00D404D5" w:rsidP="00C54063">
            <w:pPr>
              <w:pStyle w:val="NoSpacing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D404D5" w:rsidRDefault="00D404D5" w:rsidP="0074374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декса РФ;</w:t>
            </w:r>
          </w:p>
          <w:p w:rsidR="00D404D5" w:rsidRPr="00C647DE" w:rsidRDefault="00D404D5" w:rsidP="0074374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рый предстоит 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404D5" w:rsidRPr="00C647DE" w:rsidRDefault="00D404D5" w:rsidP="0074374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404D5" w:rsidRPr="00C647DE" w:rsidRDefault="00D404D5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404D5" w:rsidRPr="00C647DE" w:rsidRDefault="00D404D5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D404D5" w:rsidRPr="00C54063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D404D5" w:rsidRPr="00C54063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D404D5" w:rsidRPr="00C54063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D404D5" w:rsidRPr="00C54063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D404D5" w:rsidRPr="00C647DE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D404D5" w:rsidRDefault="00D404D5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Одним из способов,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занном в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лении:</w:t>
            </w:r>
          </w:p>
          <w:p w:rsidR="00D404D5" w:rsidRPr="00C647DE" w:rsidRDefault="00D404D5" w:rsidP="0070252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>в виде б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мажного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Pr="00C647DE">
              <w:rPr>
                <w:rFonts w:ascii="Times New Roman" w:hAnsi="Times New Roman"/>
              </w:rPr>
              <w:t>при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Pr="00C647DE">
              <w:rPr>
                <w:rFonts w:ascii="Times New Roman" w:hAnsi="Times New Roman"/>
              </w:rPr>
              <w:t>;</w:t>
            </w:r>
          </w:p>
          <w:p w:rsidR="00D404D5" w:rsidRPr="00C647DE" w:rsidRDefault="00D404D5" w:rsidP="0070252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>в виде б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мажного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Pr="00C647DE">
              <w:rPr>
                <w:rFonts w:ascii="Times New Roman" w:hAnsi="Times New Roman"/>
              </w:rPr>
              <w:t>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отправл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ния;</w:t>
            </w:r>
          </w:p>
          <w:p w:rsidR="00D404D5" w:rsidRPr="00C647DE" w:rsidRDefault="00D404D5" w:rsidP="0070252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>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кумента, ра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мещенного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ссы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D404D5" w:rsidRPr="00C647DE" w:rsidRDefault="00D404D5" w:rsidP="0070252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647DE">
              <w:rPr>
                <w:rFonts w:ascii="Times New Roman" w:hAnsi="Times New Roman"/>
              </w:rPr>
              <w:t>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кумента,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рый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D404D5" w:rsidRPr="00C647DE" w:rsidRDefault="00D404D5" w:rsidP="00B964F2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>
      <w:pPr>
        <w:spacing w:after="0" w:line="240" w:lineRule="auto"/>
        <w:rPr>
          <w:rFonts w:ascii="Times New Roman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D404D5" w:rsidRPr="00C647DE" w:rsidRDefault="00D404D5" w:rsidP="00C647D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C647DE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D404D5" w:rsidRPr="00C647DE" w:rsidTr="006D36F5">
        <w:trPr>
          <w:trHeight w:val="2287"/>
        </w:trPr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D404D5" w:rsidRPr="00774106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D404D5" w:rsidRPr="00774106" w:rsidRDefault="00D404D5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D404D5" w:rsidRPr="00774106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404D5" w:rsidRPr="00C647DE" w:rsidTr="006D36F5">
        <w:trPr>
          <w:trHeight w:val="236"/>
        </w:trPr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D404D5" w:rsidRPr="00C647DE" w:rsidTr="006D36F5">
        <w:trPr>
          <w:trHeight w:val="236"/>
        </w:trPr>
        <w:tc>
          <w:tcPr>
            <w:tcW w:w="15276" w:type="dxa"/>
            <w:gridSpan w:val="8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404D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D404D5" w:rsidRPr="00774106" w:rsidRDefault="00D404D5" w:rsidP="007741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D404D5" w:rsidRPr="00C647DE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D404D5" w:rsidRDefault="00D4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404D5" w:rsidRPr="00C647DE" w:rsidTr="006D36F5">
        <w:trPr>
          <w:trHeight w:val="1265"/>
        </w:trPr>
        <w:tc>
          <w:tcPr>
            <w:tcW w:w="534" w:type="dxa"/>
            <w:vMerge/>
          </w:tcPr>
          <w:p w:rsidR="00D404D5" w:rsidRPr="00774106" w:rsidRDefault="00D404D5" w:rsidP="007741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D404D5" w:rsidRPr="00C647DE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404D5" w:rsidRDefault="00D4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D404D5" w:rsidRPr="00C647DE" w:rsidTr="006D36F5">
        <w:trPr>
          <w:trHeight w:val="1265"/>
        </w:trPr>
        <w:tc>
          <w:tcPr>
            <w:tcW w:w="534" w:type="dxa"/>
            <w:vMerge/>
          </w:tcPr>
          <w:p w:rsidR="00D404D5" w:rsidRPr="00774106" w:rsidRDefault="00D404D5" w:rsidP="007741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D404D5" w:rsidRPr="00C647DE" w:rsidRDefault="00D404D5" w:rsidP="00C54063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404D5" w:rsidRDefault="00D4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D404D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D404D5" w:rsidRPr="00774106" w:rsidRDefault="00D404D5" w:rsidP="007741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D404D5" w:rsidRPr="00C647DE" w:rsidRDefault="00D404D5" w:rsidP="0086692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D404D5" w:rsidRDefault="00D4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404D5" w:rsidRPr="00C647DE" w:rsidTr="006D36F5">
        <w:trPr>
          <w:trHeight w:val="2280"/>
        </w:trPr>
        <w:tc>
          <w:tcPr>
            <w:tcW w:w="534" w:type="dxa"/>
            <w:vMerge/>
          </w:tcPr>
          <w:p w:rsidR="00D404D5" w:rsidRPr="00774106" w:rsidRDefault="00D404D5" w:rsidP="007741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D404D5" w:rsidRPr="00C647DE" w:rsidRDefault="00D404D5" w:rsidP="0086692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404D5" w:rsidRDefault="00D4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404D5" w:rsidRPr="00C647DE" w:rsidRDefault="00D404D5" w:rsidP="00CB5641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404D5" w:rsidRPr="00C647DE" w:rsidRDefault="00D404D5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404D5" w:rsidRPr="00C647DE" w:rsidRDefault="00D404D5" w:rsidP="00C647D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C647DE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D404D5" w:rsidRPr="00C647DE" w:rsidTr="006D36F5">
        <w:trPr>
          <w:trHeight w:val="2287"/>
        </w:trPr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404D5" w:rsidRPr="00B00B06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404D5" w:rsidRPr="00B00B06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404D5" w:rsidRPr="00C647DE" w:rsidTr="006D36F5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D404D5" w:rsidRPr="00C647DE" w:rsidTr="00762451">
        <w:tc>
          <w:tcPr>
            <w:tcW w:w="15274" w:type="dxa"/>
            <w:gridSpan w:val="8"/>
          </w:tcPr>
          <w:p w:rsidR="00D404D5" w:rsidRPr="00C647DE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404D5" w:rsidRPr="00C647DE" w:rsidTr="006D36F5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D404D5" w:rsidRPr="00C647DE" w:rsidRDefault="00D404D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D404D5" w:rsidRPr="00C647DE" w:rsidRDefault="00D404D5" w:rsidP="00813E6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венных или муниципальных нужд в случае, если земельный участок 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D404D5" w:rsidRPr="00C647DE" w:rsidRDefault="00D404D5" w:rsidP="00593796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D404D5" w:rsidRPr="00C647DE" w:rsidTr="006D36F5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D404D5" w:rsidRPr="00C647DE" w:rsidRDefault="00D404D5" w:rsidP="006D36F5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D404D5" w:rsidRPr="00C647DE" w:rsidRDefault="00D404D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D404D5" w:rsidRPr="00C647DE" w:rsidRDefault="00D404D5" w:rsidP="00447A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D404D5" w:rsidRPr="00C647DE" w:rsidRDefault="00D404D5" w:rsidP="00813E6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404D5" w:rsidRPr="00C647DE" w:rsidRDefault="00D404D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D404D5" w:rsidRPr="00C647DE" w:rsidRDefault="00D404D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404D5" w:rsidRPr="00C647DE" w:rsidTr="006D36F5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D404D5" w:rsidRPr="00C647DE" w:rsidRDefault="00D404D5" w:rsidP="006D36F5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D404D5" w:rsidRPr="00C647DE" w:rsidRDefault="00D404D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D404D5" w:rsidRPr="00C647DE" w:rsidRDefault="00D404D5" w:rsidP="00447A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D404D5" w:rsidRPr="00C647DE" w:rsidRDefault="00D404D5" w:rsidP="00813E6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404D5" w:rsidRPr="00C647DE" w:rsidRDefault="00D404D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D404D5" w:rsidRPr="00C647DE" w:rsidRDefault="00D404D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404D5" w:rsidRPr="00C647DE" w:rsidTr="006D36F5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D404D5" w:rsidRPr="00C647DE" w:rsidRDefault="00D404D5" w:rsidP="006D36F5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D404D5" w:rsidRPr="00C647DE" w:rsidRDefault="00D404D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D404D5" w:rsidRPr="00C647DE" w:rsidRDefault="00D404D5" w:rsidP="00447A75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D404D5" w:rsidRPr="00C647DE" w:rsidRDefault="00D404D5" w:rsidP="00813E6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404D5" w:rsidRPr="00C647DE" w:rsidRDefault="00D404D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D404D5" w:rsidRPr="00C647DE" w:rsidRDefault="00D404D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404D5" w:rsidRPr="00C647DE" w:rsidTr="006D36F5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D404D5" w:rsidRPr="00C647DE" w:rsidRDefault="00D404D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Pr="00C647DE">
              <w:rPr>
                <w:rFonts w:ascii="Times New Roman" w:hAnsi="Times New Roman"/>
              </w:rPr>
              <w:t>по основаниям,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участка, относящегося к имуществу общего 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7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647DE">
                <w:rPr>
                  <w:rFonts w:ascii="Times New Roman" w:hAnsi="Times New Roman"/>
                </w:rPr>
                <w:t>2002 г</w:t>
              </w:r>
            </w:smartTag>
            <w:r w:rsidRPr="00C647DE">
              <w:rPr>
                <w:rFonts w:ascii="Times New Roman" w:hAnsi="Times New Roman"/>
              </w:rPr>
              <w:t>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647DE">
                <w:rPr>
                  <w:rFonts w:ascii="Times New Roman" w:hAnsi="Times New Roman"/>
                </w:rPr>
                <w:t>2002 г</w:t>
              </w:r>
            </w:smartTag>
            <w:r w:rsidRPr="00C647DE">
              <w:rPr>
                <w:rFonts w:ascii="Times New Roman" w:hAnsi="Times New Roman"/>
              </w:rPr>
              <w:t>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 предварительном согласовании 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данами в целях жилищного строительства;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D404D5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Воронежской области о создании некоммерческой организации;</w:t>
            </w: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D404D5" w:rsidRPr="00C647DE" w:rsidRDefault="00D404D5" w:rsidP="002F478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D404D5" w:rsidRPr="00C647DE" w:rsidRDefault="00D404D5" w:rsidP="0023377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D404D5" w:rsidRPr="00C647DE" w:rsidRDefault="00D404D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D404D5" w:rsidRPr="00C647DE" w:rsidRDefault="00D404D5" w:rsidP="00447A75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D404D5" w:rsidRPr="00C647DE" w:rsidRDefault="00D404D5" w:rsidP="00813E6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404D5" w:rsidRPr="00C647DE" w:rsidRDefault="00D404D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D404D5" w:rsidRPr="00C647DE" w:rsidRDefault="00D404D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D404D5" w:rsidRPr="00C647DE" w:rsidRDefault="00D404D5" w:rsidP="001D7DA7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404D5" w:rsidRPr="00C647DE" w:rsidRDefault="00D404D5" w:rsidP="00C647D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C647DE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D404D5" w:rsidRPr="00C647DE" w:rsidTr="00C878D2">
        <w:trPr>
          <w:trHeight w:val="2287"/>
        </w:trPr>
        <w:tc>
          <w:tcPr>
            <w:tcW w:w="1101" w:type="dxa"/>
          </w:tcPr>
          <w:p w:rsidR="00D404D5" w:rsidRPr="00550D27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276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D404D5" w:rsidRPr="00C647DE" w:rsidTr="00C878D2">
        <w:trPr>
          <w:trHeight w:val="232"/>
        </w:trPr>
        <w:tc>
          <w:tcPr>
            <w:tcW w:w="110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D404D5" w:rsidRPr="00C647DE" w:rsidTr="00762451">
        <w:trPr>
          <w:trHeight w:val="232"/>
        </w:trPr>
        <w:tc>
          <w:tcPr>
            <w:tcW w:w="15276" w:type="dxa"/>
            <w:gridSpan w:val="9"/>
          </w:tcPr>
          <w:p w:rsidR="00D404D5" w:rsidRPr="00C647DE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404D5" w:rsidRPr="00C647DE" w:rsidTr="00C878D2">
        <w:trPr>
          <w:trHeight w:val="232"/>
        </w:trPr>
        <w:tc>
          <w:tcPr>
            <w:tcW w:w="110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404D5" w:rsidRPr="00C647DE" w:rsidRDefault="00D404D5" w:rsidP="004F53BA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D404D5" w:rsidRPr="00C647DE" w:rsidRDefault="00D404D5" w:rsidP="004F53BA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404D5" w:rsidRPr="00C647DE" w:rsidRDefault="00D404D5" w:rsidP="004F53B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2126" w:type="dxa"/>
          </w:tcPr>
          <w:p w:rsidR="00D404D5" w:rsidRDefault="00D404D5" w:rsidP="003934A1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D404D5" w:rsidRPr="00C647DE" w:rsidRDefault="00D404D5" w:rsidP="003934A1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4D5" w:rsidRPr="00C647DE" w:rsidTr="00C878D2">
        <w:trPr>
          <w:trHeight w:val="232"/>
        </w:trPr>
        <w:tc>
          <w:tcPr>
            <w:tcW w:w="110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404D5" w:rsidRPr="00C647DE" w:rsidRDefault="00D404D5" w:rsidP="003934A1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404D5" w:rsidRPr="00C647DE" w:rsidRDefault="00D404D5" w:rsidP="0076245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2126" w:type="dxa"/>
          </w:tcPr>
          <w:p w:rsidR="00D404D5" w:rsidRPr="00C647DE" w:rsidRDefault="00D404D5" w:rsidP="00762451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404D5" w:rsidRPr="00C647DE" w:rsidTr="00C878D2">
        <w:trPr>
          <w:trHeight w:val="232"/>
        </w:trPr>
        <w:tc>
          <w:tcPr>
            <w:tcW w:w="110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404D5" w:rsidRPr="00C647DE" w:rsidRDefault="00D404D5" w:rsidP="003934A1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D404D5" w:rsidRPr="00C647DE" w:rsidRDefault="00D404D5" w:rsidP="003934A1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404D5" w:rsidRPr="00C647DE" w:rsidRDefault="00D404D5" w:rsidP="0076245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2126" w:type="dxa"/>
          </w:tcPr>
          <w:p w:rsidR="00D404D5" w:rsidRPr="00C647DE" w:rsidRDefault="00D404D5" w:rsidP="003934A1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404D5" w:rsidRPr="00C647DE" w:rsidRDefault="00D404D5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404D5" w:rsidRPr="00C647DE" w:rsidRDefault="00D404D5" w:rsidP="00C647D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C647DE">
        <w:rPr>
          <w:rFonts w:ascii="Times New Roman" w:hAnsi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D404D5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D404D5" w:rsidRPr="00D82B66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D404D5" w:rsidRPr="00D82B66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D404D5" w:rsidRPr="00D82B66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D404D5" w:rsidRPr="00C647DE" w:rsidTr="00F8472C">
        <w:trPr>
          <w:trHeight w:val="377"/>
        </w:trPr>
        <w:tc>
          <w:tcPr>
            <w:tcW w:w="534" w:type="dxa"/>
            <w:vMerge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D404D5" w:rsidRPr="00C647DE" w:rsidTr="00F8472C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D404D5" w:rsidRPr="00C647DE" w:rsidTr="00762451">
        <w:tc>
          <w:tcPr>
            <w:tcW w:w="15275" w:type="dxa"/>
            <w:gridSpan w:val="9"/>
          </w:tcPr>
          <w:p w:rsidR="00D404D5" w:rsidRPr="00C647DE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404D5" w:rsidRPr="00C647DE" w:rsidTr="00F8472C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404D5" w:rsidRPr="00C647DE" w:rsidRDefault="00D404D5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404D5" w:rsidRPr="00C647DE" w:rsidRDefault="00D404D5" w:rsidP="004C1783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hAnsi="Times New Roman"/>
                <w:lang w:eastAsia="en-US"/>
              </w:rPr>
              <w:t>д</w:t>
            </w:r>
            <w:r w:rsidRPr="00C647DE">
              <w:rPr>
                <w:rFonts w:ascii="Times New Roman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hAnsi="Times New Roman"/>
                <w:lang w:eastAsia="en-US"/>
              </w:rPr>
              <w:t>а</w:t>
            </w:r>
            <w:r w:rsidRPr="00C647DE">
              <w:rPr>
                <w:rFonts w:ascii="Times New Roman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hAnsi="Times New Roman"/>
                <w:lang w:eastAsia="en-US"/>
              </w:rPr>
              <w:t>е</w:t>
            </w:r>
            <w:r w:rsidRPr="00C647DE">
              <w:rPr>
                <w:rFonts w:ascii="Times New Roman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404D5" w:rsidRDefault="00D404D5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404D5" w:rsidRPr="00C647DE" w:rsidRDefault="00D404D5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404D5" w:rsidRPr="00C647DE" w:rsidRDefault="00D404D5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404D5" w:rsidRPr="00C647DE" w:rsidRDefault="00D404D5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404D5" w:rsidRPr="00C647DE" w:rsidTr="00F8472C">
        <w:tc>
          <w:tcPr>
            <w:tcW w:w="534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404D5" w:rsidRPr="00C647DE" w:rsidRDefault="00D404D5" w:rsidP="004C1783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hAnsi="Times New Roman"/>
                <w:lang w:eastAsia="en-US"/>
              </w:rPr>
              <w:t>ь</w:t>
            </w:r>
            <w:r w:rsidRPr="00C647DE">
              <w:rPr>
                <w:rFonts w:ascii="Times New Roman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hAnsi="Times New Roman"/>
                <w:lang w:eastAsia="en-US"/>
              </w:rPr>
              <w:t>е</w:t>
            </w:r>
            <w:r w:rsidRPr="00C647DE">
              <w:rPr>
                <w:rFonts w:ascii="Times New Roman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404D5" w:rsidRDefault="00D404D5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404D5" w:rsidRPr="00C647DE" w:rsidRDefault="00D404D5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404D5" w:rsidRPr="00C647DE" w:rsidRDefault="00D404D5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404D5" w:rsidRPr="00C647DE" w:rsidRDefault="00D404D5" w:rsidP="00F8472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404D5" w:rsidRPr="00C647DE" w:rsidRDefault="00D404D5" w:rsidP="00C647D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C647DE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D404D5" w:rsidRPr="00C647DE" w:rsidTr="00762451"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D404D5" w:rsidRPr="00C647DE" w:rsidTr="00762451"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404D5" w:rsidRPr="00C647DE" w:rsidTr="00762451">
        <w:tc>
          <w:tcPr>
            <w:tcW w:w="15276" w:type="dxa"/>
            <w:gridSpan w:val="7"/>
          </w:tcPr>
          <w:p w:rsidR="00D404D5" w:rsidRPr="00C647DE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404D5" w:rsidRPr="00C647DE" w:rsidTr="00762451">
        <w:tc>
          <w:tcPr>
            <w:tcW w:w="15276" w:type="dxa"/>
            <w:gridSpan w:val="7"/>
          </w:tcPr>
          <w:p w:rsidR="00D404D5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404D5" w:rsidRPr="00C647DE" w:rsidTr="00762451">
        <w:trPr>
          <w:trHeight w:val="1412"/>
        </w:trPr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404D5" w:rsidRPr="00C647DE" w:rsidRDefault="00D404D5" w:rsidP="00FB215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hAnsi="Times New Roman"/>
                <w:lang w:eastAsia="en-US"/>
              </w:rPr>
              <w:t>заявит</w:t>
            </w:r>
            <w:r w:rsidRPr="00C647DE">
              <w:rPr>
                <w:rFonts w:ascii="Times New Roman" w:hAnsi="Times New Roman"/>
                <w:lang w:eastAsia="en-US"/>
              </w:rPr>
              <w:t>е</w:t>
            </w:r>
            <w:r w:rsidRPr="00C647DE">
              <w:rPr>
                <w:rFonts w:ascii="Times New Roman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hAnsi="Times New Roman"/>
                <w:lang w:eastAsia="en-US"/>
              </w:rPr>
              <w:t>а</w:t>
            </w:r>
            <w:r w:rsidRPr="00C647DE">
              <w:rPr>
                <w:rFonts w:ascii="Times New Roman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hAnsi="Times New Roman"/>
                <w:lang w:eastAsia="en-US"/>
              </w:rPr>
              <w:t>ъ</w:t>
            </w:r>
            <w:r w:rsidRPr="00C647DE">
              <w:rPr>
                <w:rFonts w:ascii="Times New Roman" w:hAnsi="Times New Roman"/>
                <w:lang w:eastAsia="en-US"/>
              </w:rPr>
              <w:t>ема.</w:t>
            </w:r>
          </w:p>
          <w:p w:rsidR="00D404D5" w:rsidRPr="00C647DE" w:rsidRDefault="00D404D5" w:rsidP="003B718F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404D5" w:rsidRPr="00C647DE" w:rsidRDefault="00D404D5" w:rsidP="00BF77EC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 день</w:t>
            </w:r>
          </w:p>
        </w:tc>
        <w:tc>
          <w:tcPr>
            <w:tcW w:w="1560" w:type="dxa"/>
          </w:tcPr>
          <w:p w:rsidR="00D404D5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404D5" w:rsidRPr="00C647DE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404D5" w:rsidRPr="00C647DE" w:rsidRDefault="00D404D5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404D5" w:rsidRPr="00C647DE" w:rsidRDefault="00D404D5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404D5" w:rsidRPr="00C647DE" w:rsidRDefault="00D404D5" w:rsidP="003B718F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404D5" w:rsidRPr="00C647DE" w:rsidTr="00762451">
        <w:trPr>
          <w:trHeight w:val="343"/>
        </w:trPr>
        <w:tc>
          <w:tcPr>
            <w:tcW w:w="15276" w:type="dxa"/>
            <w:gridSpan w:val="7"/>
          </w:tcPr>
          <w:p w:rsidR="00D404D5" w:rsidRPr="00C647DE" w:rsidRDefault="00D404D5" w:rsidP="00D82B6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Наименование административной процедуры  2:</w:t>
            </w:r>
            <w:r>
              <w:t xml:space="preserve"> 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404D5" w:rsidRPr="00C647DE" w:rsidTr="00762451">
        <w:trPr>
          <w:trHeight w:val="1054"/>
        </w:trPr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404D5" w:rsidRPr="00C647DE" w:rsidRDefault="00D404D5" w:rsidP="00D82B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404D5" w:rsidRDefault="00D404D5" w:rsidP="00D82B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404D5" w:rsidRPr="00C647DE" w:rsidRDefault="00D404D5" w:rsidP="00D82B6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404D5" w:rsidRPr="00C647DE" w:rsidRDefault="00D404D5" w:rsidP="00BF77EC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404D5" w:rsidRPr="00C647DE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404D5" w:rsidRPr="00C647DE" w:rsidRDefault="00D404D5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404D5" w:rsidRPr="00C647DE" w:rsidRDefault="00D404D5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04D5" w:rsidRPr="00C647DE" w:rsidTr="00762451">
        <w:trPr>
          <w:trHeight w:val="619"/>
        </w:trPr>
        <w:tc>
          <w:tcPr>
            <w:tcW w:w="15276" w:type="dxa"/>
            <w:gridSpan w:val="7"/>
          </w:tcPr>
          <w:p w:rsidR="00D404D5" w:rsidRPr="00C647DE" w:rsidRDefault="00D404D5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404D5" w:rsidRPr="00C647DE" w:rsidTr="00762451">
        <w:trPr>
          <w:trHeight w:val="562"/>
        </w:trPr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404D5" w:rsidRPr="00C647DE" w:rsidRDefault="00D404D5" w:rsidP="00D90BDC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подуслуги </w:t>
            </w:r>
          </w:p>
          <w:p w:rsidR="00D404D5" w:rsidRPr="00C647DE" w:rsidRDefault="00D404D5" w:rsidP="00D90BDC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Основанием для приостановлении срока рассмотрения 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ческих лиц о регистрации юридического лица (если заявителем является юридическое лицо);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404D5" w:rsidRPr="00C647DE" w:rsidRDefault="00D404D5" w:rsidP="000173C7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404D5" w:rsidRPr="00C647DE" w:rsidRDefault="00D404D5" w:rsidP="00762451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404D5" w:rsidRPr="00C647DE" w:rsidRDefault="00D404D5" w:rsidP="00BF77EC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404D5" w:rsidRPr="00C647DE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404D5" w:rsidRPr="00C647DE" w:rsidRDefault="00D404D5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404D5" w:rsidRPr="00C647DE" w:rsidRDefault="00D404D5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  <w:p w:rsidR="00D404D5" w:rsidRPr="00C647DE" w:rsidRDefault="00D404D5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04D5" w:rsidRPr="00C647DE" w:rsidTr="00762451">
        <w:trPr>
          <w:trHeight w:val="562"/>
        </w:trPr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3.2</w:t>
            </w:r>
          </w:p>
        </w:tc>
        <w:tc>
          <w:tcPr>
            <w:tcW w:w="2979" w:type="dxa"/>
          </w:tcPr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венного взаимодействия для подуслуги </w:t>
            </w:r>
          </w:p>
          <w:p w:rsidR="00D404D5" w:rsidRPr="00C647DE" w:rsidRDefault="00D404D5" w:rsidP="00D90BDC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D404D5" w:rsidRPr="00C647DE" w:rsidRDefault="00D404D5" w:rsidP="00762451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D404D5" w:rsidRPr="00C647DE" w:rsidRDefault="00D404D5" w:rsidP="00BF77EC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404D5" w:rsidRPr="00C647DE" w:rsidRDefault="00D404D5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404D5" w:rsidRPr="00C647DE" w:rsidRDefault="00D404D5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404D5" w:rsidRPr="00C647DE" w:rsidRDefault="00D404D5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404D5" w:rsidRPr="00C647DE" w:rsidRDefault="00D404D5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04D5" w:rsidRPr="00C647DE" w:rsidTr="00762451">
        <w:trPr>
          <w:trHeight w:val="562"/>
        </w:trPr>
        <w:tc>
          <w:tcPr>
            <w:tcW w:w="15276" w:type="dxa"/>
            <w:gridSpan w:val="7"/>
          </w:tcPr>
          <w:p w:rsidR="00D404D5" w:rsidRPr="00C647DE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404D5" w:rsidRPr="00C647DE" w:rsidTr="00762451">
        <w:trPr>
          <w:trHeight w:val="987"/>
        </w:trPr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404D5" w:rsidRPr="00C647DE" w:rsidRDefault="00D404D5" w:rsidP="00D90BDC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404D5" w:rsidRPr="00C647DE" w:rsidRDefault="00D404D5" w:rsidP="007866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404D5" w:rsidRPr="00C647DE" w:rsidRDefault="00D404D5" w:rsidP="007866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404D5" w:rsidRPr="00C647DE" w:rsidRDefault="00D404D5" w:rsidP="007866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404D5" w:rsidRPr="00C647DE" w:rsidRDefault="00D404D5" w:rsidP="007866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404D5" w:rsidRPr="00C647DE" w:rsidRDefault="00D404D5" w:rsidP="007866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404D5" w:rsidRPr="00C647DE" w:rsidRDefault="00D404D5" w:rsidP="007866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404D5" w:rsidRPr="00C647DE" w:rsidRDefault="00D404D5" w:rsidP="007866ED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404D5" w:rsidRPr="00C647DE" w:rsidRDefault="00D404D5" w:rsidP="00BF77EC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 дня</w:t>
            </w:r>
          </w:p>
        </w:tc>
        <w:tc>
          <w:tcPr>
            <w:tcW w:w="1560" w:type="dxa"/>
          </w:tcPr>
          <w:p w:rsidR="00D404D5" w:rsidRPr="00C647DE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404D5" w:rsidRPr="00C647DE" w:rsidRDefault="00D404D5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404D5" w:rsidRPr="00C647DE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04D5" w:rsidRPr="00C647DE" w:rsidTr="00762451">
        <w:trPr>
          <w:trHeight w:val="755"/>
        </w:trPr>
        <w:tc>
          <w:tcPr>
            <w:tcW w:w="15276" w:type="dxa"/>
            <w:gridSpan w:val="7"/>
          </w:tcPr>
          <w:p w:rsidR="00D404D5" w:rsidRPr="00C647DE" w:rsidRDefault="00D404D5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C647DE">
              <w:rPr>
                <w:rFonts w:ascii="Times New Roman" w:hAnsi="Times New Roman"/>
              </w:rPr>
              <w:t xml:space="preserve"> </w:t>
            </w:r>
            <w:r w:rsidRPr="00762451">
              <w:rPr>
                <w:rFonts w:ascii="Times New Roman" w:hAnsi="Times New Roman"/>
                <w:b/>
              </w:rPr>
              <w:t>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404D5" w:rsidRPr="00C647DE" w:rsidTr="005B59D6">
        <w:trPr>
          <w:trHeight w:val="5874"/>
        </w:trPr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979" w:type="dxa"/>
          </w:tcPr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явления: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участка, который предстоит образовать;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hAnsi="Times New Roman"/>
                <w:lang w:eastAsia="en-US"/>
              </w:rPr>
              <w:t>а</w:t>
            </w:r>
            <w:r w:rsidRPr="00C647DE">
              <w:rPr>
                <w:rFonts w:ascii="Times New Roman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  <w:lang w:eastAsia="en-US"/>
              </w:rPr>
              <w:t>а</w:t>
            </w:r>
            <w:r w:rsidRPr="00C647DE">
              <w:rPr>
                <w:rFonts w:ascii="Times New Roman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hAnsi="Times New Roman"/>
                <w:lang w:eastAsia="en-US"/>
              </w:rPr>
              <w:t>ч</w:t>
            </w:r>
            <w:r w:rsidRPr="00C647DE">
              <w:rPr>
                <w:rFonts w:ascii="Times New Roman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hAnsi="Times New Roman"/>
                <w:lang w:eastAsia="en-US"/>
              </w:rPr>
              <w:t>у</w:t>
            </w:r>
            <w:r w:rsidRPr="00C647DE">
              <w:rPr>
                <w:rFonts w:ascii="Times New Roman" w:hAnsi="Times New Roman"/>
                <w:lang w:eastAsia="en-US"/>
              </w:rPr>
              <w:t>дарственном кадастре недвижимости».</w:t>
            </w:r>
          </w:p>
          <w:p w:rsidR="00D404D5" w:rsidRPr="00C647DE" w:rsidRDefault="00D404D5" w:rsidP="002F6A46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404D5" w:rsidRPr="00C647DE" w:rsidRDefault="00D404D5" w:rsidP="00BF77E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404D5" w:rsidRPr="00C647DE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404D5" w:rsidRPr="00C647DE" w:rsidRDefault="00D404D5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404D5" w:rsidRPr="00C647DE" w:rsidRDefault="00D404D5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04D5" w:rsidRPr="00C647DE" w:rsidTr="005B59D6">
        <w:trPr>
          <w:trHeight w:val="346"/>
        </w:trPr>
        <w:tc>
          <w:tcPr>
            <w:tcW w:w="15276" w:type="dxa"/>
            <w:gridSpan w:val="7"/>
          </w:tcPr>
          <w:p w:rsidR="00D404D5" w:rsidRPr="00C647DE" w:rsidRDefault="00D404D5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404D5" w:rsidRPr="00C647DE" w:rsidTr="00762451">
        <w:trPr>
          <w:trHeight w:val="2362"/>
        </w:trPr>
        <w:tc>
          <w:tcPr>
            <w:tcW w:w="531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9" w:type="dxa"/>
          </w:tcPr>
          <w:p w:rsidR="00D404D5" w:rsidRPr="00C647DE" w:rsidRDefault="00D404D5" w:rsidP="00D90BDC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404D5" w:rsidRPr="00C647DE" w:rsidRDefault="00D404D5" w:rsidP="001C64C0">
            <w:pPr>
              <w:pStyle w:val="NoSpacing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Постановление администрации о предварительном согласовании предоставления земельного участка или об отказе в предварительном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земельного участка могут быть выданы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лично (или уполномоченному им надлежащим обр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зом представителю) в виде бумажного документа,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посредственно при личном обращении, либо направл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ются заявителю в виде бумажного документа, посре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ством почтового отправления, либо в виде электронн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документа, размещенного на официальном сайте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министрации, ссылка на который направляется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 посредством электронной почты, либо в виде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тронного документа, который направляется заявителю посредством электронной почты.</w:t>
            </w:r>
          </w:p>
          <w:p w:rsidR="00D404D5" w:rsidRPr="00C647DE" w:rsidRDefault="00D404D5" w:rsidP="001C64C0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04D5" w:rsidRPr="00C647DE" w:rsidRDefault="00D404D5" w:rsidP="00BF77EC">
            <w:pPr>
              <w:pStyle w:val="NoSpacing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404D5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D404D5" w:rsidRPr="00C647DE" w:rsidRDefault="00D404D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404D5" w:rsidRPr="00C647DE" w:rsidRDefault="00D404D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404D5" w:rsidRPr="00C647DE" w:rsidRDefault="00D404D5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Pr="00C647DE" w:rsidRDefault="00D404D5" w:rsidP="007343CC">
      <w:pPr>
        <w:spacing w:line="240" w:lineRule="auto"/>
        <w:rPr>
          <w:rFonts w:ascii="Times New Roman" w:hAnsi="Times New Roman"/>
          <w:b/>
        </w:rPr>
      </w:pPr>
    </w:p>
    <w:p w:rsidR="00D404D5" w:rsidRDefault="00D404D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D404D5" w:rsidRPr="00C647DE" w:rsidRDefault="00D404D5" w:rsidP="00C647D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C647DE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D404D5" w:rsidRPr="00C647DE" w:rsidTr="005B59D6">
        <w:tc>
          <w:tcPr>
            <w:tcW w:w="2227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D404D5" w:rsidRPr="00C647DE" w:rsidTr="005B59D6">
        <w:tc>
          <w:tcPr>
            <w:tcW w:w="2227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D404D5" w:rsidRPr="00C647DE" w:rsidRDefault="00D404D5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D404D5" w:rsidRPr="00C647DE" w:rsidRDefault="00D404D5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D404D5" w:rsidRPr="00C647DE" w:rsidRDefault="00D404D5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D404D5" w:rsidRPr="00C647DE" w:rsidRDefault="00D404D5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D404D5" w:rsidRPr="00C647DE" w:rsidRDefault="00D404D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404D5" w:rsidRPr="00C647DE" w:rsidTr="00BD6093">
        <w:tc>
          <w:tcPr>
            <w:tcW w:w="14786" w:type="dxa"/>
            <w:gridSpan w:val="7"/>
          </w:tcPr>
          <w:p w:rsidR="00D404D5" w:rsidRPr="00C647DE" w:rsidRDefault="00D404D5" w:rsidP="00EC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D404D5" w:rsidRPr="00C647DE" w:rsidTr="005B59D6">
        <w:tc>
          <w:tcPr>
            <w:tcW w:w="2227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D404D5" w:rsidRDefault="00D404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 порт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434" w:type="dxa"/>
          </w:tcPr>
          <w:p w:rsidR="00D404D5" w:rsidRDefault="00D40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D404D5" w:rsidRDefault="00D404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D404D5" w:rsidRDefault="00D404D5" w:rsidP="00B80478">
      <w:pPr>
        <w:spacing w:line="240" w:lineRule="auto"/>
        <w:rPr>
          <w:rFonts w:ascii="Times New Roman" w:hAnsi="Times New Roman"/>
          <w:b/>
        </w:rPr>
      </w:pPr>
    </w:p>
    <w:p w:rsidR="00D404D5" w:rsidRDefault="00D404D5" w:rsidP="00B80478">
      <w:pPr>
        <w:spacing w:line="240" w:lineRule="auto"/>
        <w:rPr>
          <w:rFonts w:ascii="Times New Roman" w:hAnsi="Times New Roman"/>
          <w:b/>
        </w:rPr>
      </w:pPr>
    </w:p>
    <w:p w:rsidR="00D404D5" w:rsidRDefault="00D404D5">
      <w:pPr>
        <w:spacing w:after="0" w:line="240" w:lineRule="auto"/>
        <w:rPr>
          <w:rFonts w:ascii="Times New Roman" w:hAnsi="Times New Roman"/>
          <w:b/>
          <w:lang w:eastAsia="en-US"/>
        </w:rPr>
      </w:pPr>
      <w:bookmarkStart w:id="2" w:name="_GoBack"/>
      <w:bookmarkEnd w:id="2"/>
    </w:p>
    <w:p w:rsidR="00D404D5" w:rsidRDefault="00D404D5" w:rsidP="005B59D6">
      <w:pPr>
        <w:spacing w:after="0" w:line="240" w:lineRule="auto"/>
        <w:jc w:val="both"/>
        <w:rPr>
          <w:rFonts w:ascii="Times New Roman" w:hAnsi="Times New Roman"/>
          <w:b/>
          <w:lang w:eastAsia="en-US"/>
        </w:rPr>
        <w:sectPr w:rsidR="00D404D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D404D5" w:rsidRPr="00D94CB2" w:rsidRDefault="00D404D5" w:rsidP="007A6CB0">
      <w:pPr>
        <w:rPr>
          <w:sz w:val="20"/>
          <w:szCs w:val="20"/>
        </w:rPr>
      </w:pP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N 1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D94CB2">
        <w:rPr>
          <w:b/>
          <w:sz w:val="20"/>
          <w:szCs w:val="20"/>
        </w:rPr>
        <w:t>к Административному регламенту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D94CB2">
        <w:rPr>
          <w:b/>
          <w:sz w:val="20"/>
          <w:szCs w:val="20"/>
        </w:rPr>
        <w:t>Форма заявления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В адми</w:t>
      </w:r>
      <w:r>
        <w:rPr>
          <w:sz w:val="20"/>
          <w:szCs w:val="20"/>
        </w:rPr>
        <w:t xml:space="preserve">нистрацию Яблоченского сельского </w:t>
      </w:r>
      <w:r w:rsidRPr="00D94CB2">
        <w:rPr>
          <w:sz w:val="20"/>
          <w:szCs w:val="20"/>
        </w:rPr>
        <w:t>поселения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______________________________________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(наименование заявителя - юридического лица)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______________________________________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(Ф.И.О. заявителя,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______________________________________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паспортные данные, место жительства)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______________________________________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______________________________________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94CB2">
        <w:rPr>
          <w:sz w:val="20"/>
          <w:szCs w:val="20"/>
        </w:rPr>
        <w:t>(почтовый адрес и (или) адрес электронной почты)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523"/>
      <w:bookmarkEnd w:id="3"/>
      <w:r w:rsidRPr="00D94CB2">
        <w:rPr>
          <w:sz w:val="20"/>
          <w:szCs w:val="20"/>
        </w:rPr>
        <w:t>ЗАЯВЛЕНИЕ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94CB2">
        <w:rPr>
          <w:sz w:val="20"/>
          <w:szCs w:val="20"/>
        </w:rPr>
        <w:t>о предварительном согласовании предоставления земельного участка</w:t>
      </w:r>
    </w:p>
    <w:p w:rsidR="00D404D5" w:rsidRPr="00D94CB2" w:rsidRDefault="00D404D5" w:rsidP="007A6C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404D5" w:rsidRPr="00D94CB2" w:rsidRDefault="00D404D5" w:rsidP="007A6CB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Прошу предварительно согласовать предоставление земельного участка, находящегося в муниц</w:t>
      </w:r>
      <w:r w:rsidRPr="00D94CB2">
        <w:rPr>
          <w:rFonts w:ascii="Times New Roman" w:hAnsi="Times New Roman" w:cs="Times New Roman"/>
        </w:rPr>
        <w:t>и</w:t>
      </w:r>
      <w:r w:rsidRPr="00D94CB2">
        <w:rPr>
          <w:rFonts w:ascii="Times New Roman" w:hAnsi="Times New Roman" w:cs="Times New Roman"/>
        </w:rPr>
        <w:t xml:space="preserve">пальной собственности или государственная собственность на который не разграничена, расположенного по адресу: _________, площадью ______ кв. м, кадастровый номер ______________________, ______________________________________ 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______________________________________________________________.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</w:t>
      </w:r>
      <w:r w:rsidRPr="00D94CB2">
        <w:rPr>
          <w:rFonts w:ascii="Times New Roman" w:hAnsi="Times New Roman" w:cs="Times New Roman"/>
        </w:rPr>
        <w:t>я</w:t>
      </w:r>
      <w:r w:rsidRPr="00D94CB2">
        <w:rPr>
          <w:rFonts w:ascii="Times New Roman" w:hAnsi="Times New Roman" w:cs="Times New Roman"/>
        </w:rPr>
        <w:t>витель желает приобрести земельный участок, если предоставление земельного участка возможно на н</w:t>
      </w:r>
      <w:r w:rsidRPr="00D94CB2">
        <w:rPr>
          <w:rFonts w:ascii="Times New Roman" w:hAnsi="Times New Roman" w:cs="Times New Roman"/>
        </w:rPr>
        <w:t>е</w:t>
      </w:r>
      <w:r w:rsidRPr="00D94CB2">
        <w:rPr>
          <w:rFonts w:ascii="Times New Roman" w:hAnsi="Times New Roman" w:cs="Times New Roman"/>
        </w:rPr>
        <w:t>скольких видах прав)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Цель использования земельного участка_____________________________.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(реквизиты решения об утверждении документа территориального планирования и (или) проекта планиро</w:t>
      </w:r>
      <w:r w:rsidRPr="00D94CB2">
        <w:rPr>
          <w:rFonts w:ascii="Times New Roman" w:hAnsi="Times New Roman" w:cs="Times New Roman"/>
        </w:rPr>
        <w:t>в</w:t>
      </w:r>
      <w:r w:rsidRPr="00D94CB2">
        <w:rPr>
          <w:rFonts w:ascii="Times New Roman" w:hAnsi="Times New Roman" w:cs="Times New Roman"/>
        </w:rPr>
        <w:t>ки территории, в случае, если земельный участок предоставляется для размещения объектов, предусмотре</w:t>
      </w:r>
      <w:r w:rsidRPr="00D94CB2">
        <w:rPr>
          <w:rFonts w:ascii="Times New Roman" w:hAnsi="Times New Roman" w:cs="Times New Roman"/>
        </w:rPr>
        <w:t>н</w:t>
      </w:r>
      <w:r w:rsidRPr="00D94CB2">
        <w:rPr>
          <w:rFonts w:ascii="Times New Roman" w:hAnsi="Times New Roman" w:cs="Times New Roman"/>
        </w:rPr>
        <w:t xml:space="preserve">ных этим документом и (или) проектом) 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 xml:space="preserve">______________________________________________________________ 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 xml:space="preserve">    Приложения: (указывается список прилагаемых к заявлению документов):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D404D5" w:rsidRPr="00D94CB2" w:rsidRDefault="00D404D5" w:rsidP="007A6CB0">
      <w:pPr>
        <w:pStyle w:val="ConsPlusNonformat"/>
        <w:jc w:val="both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 xml:space="preserve"> _______________________ _______________ __________________</w:t>
      </w:r>
    </w:p>
    <w:p w:rsidR="00D404D5" w:rsidRPr="00D94CB2" w:rsidRDefault="00D404D5" w:rsidP="007A6CB0">
      <w:pPr>
        <w:pStyle w:val="ConsPlusNonformat"/>
        <w:rPr>
          <w:rFonts w:ascii="Times New Roman" w:hAnsi="Times New Roman" w:cs="Times New Roman"/>
        </w:rPr>
      </w:pPr>
      <w:r w:rsidRPr="00D94CB2">
        <w:rPr>
          <w:rFonts w:ascii="Times New Roman" w:hAnsi="Times New Roman" w:cs="Times New Roman"/>
        </w:rPr>
        <w:t xml:space="preserve">      (должность)           (подпись)      (фамилия И.О.)</w:t>
      </w:r>
    </w:p>
    <w:p w:rsidR="00D404D5" w:rsidRPr="00D94CB2" w:rsidRDefault="00D404D5" w:rsidP="007A6CB0">
      <w:pPr>
        <w:rPr>
          <w:sz w:val="20"/>
          <w:szCs w:val="20"/>
        </w:rPr>
      </w:pPr>
      <w:r w:rsidRPr="00D94CB2">
        <w:rPr>
          <w:sz w:val="20"/>
          <w:szCs w:val="20"/>
        </w:rPr>
        <w:t xml:space="preserve">    М.П.</w:t>
      </w:r>
    </w:p>
    <w:p w:rsidR="00D404D5" w:rsidRPr="0081553F" w:rsidRDefault="00D404D5" w:rsidP="007A6CB0">
      <w:pPr>
        <w:rPr>
          <w:rFonts w:ascii="Arial" w:hAnsi="Arial" w:cs="Arial"/>
        </w:rPr>
      </w:pPr>
    </w:p>
    <w:p w:rsidR="00D404D5" w:rsidRPr="005B59D6" w:rsidRDefault="00D404D5" w:rsidP="005B59D6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sectPr w:rsidR="00D404D5" w:rsidRPr="005B59D6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D5" w:rsidRDefault="00D404D5" w:rsidP="00F847AF">
      <w:pPr>
        <w:spacing w:after="0" w:line="240" w:lineRule="auto"/>
      </w:pPr>
      <w:r>
        <w:separator/>
      </w:r>
    </w:p>
  </w:endnote>
  <w:endnote w:type="continuationSeparator" w:id="0">
    <w:p w:rsidR="00D404D5" w:rsidRDefault="00D404D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D5" w:rsidRDefault="00D404D5" w:rsidP="00F847AF">
      <w:pPr>
        <w:spacing w:after="0" w:line="240" w:lineRule="auto"/>
      </w:pPr>
      <w:r>
        <w:separator/>
      </w:r>
    </w:p>
  </w:footnote>
  <w:footnote w:type="continuationSeparator" w:id="0">
    <w:p w:rsidR="00D404D5" w:rsidRDefault="00D404D5" w:rsidP="00F847AF">
      <w:pPr>
        <w:spacing w:after="0" w:line="240" w:lineRule="auto"/>
      </w:pPr>
      <w:r>
        <w:continuationSeparator/>
      </w:r>
    </w:p>
  </w:footnote>
  <w:footnote w:id="1">
    <w:p w:rsidR="00D404D5" w:rsidRDefault="00D404D5" w:rsidP="00C647DE">
      <w:pPr>
        <w:pStyle w:val="FootnoteText"/>
      </w:pPr>
      <w:r>
        <w:rPr>
          <w:rStyle w:val="FootnoteReference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D404D5" w:rsidRDefault="00D404D5" w:rsidP="00C647DE">
      <w:pPr>
        <w:pStyle w:val="FootnoteText"/>
      </w:pPr>
      <w:r>
        <w:rPr>
          <w:rStyle w:val="FootnoteReference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D404D5" w:rsidRDefault="00D404D5" w:rsidP="00C647DE">
      <w:pPr>
        <w:pStyle w:val="FootnoteText"/>
      </w:pPr>
      <w:r>
        <w:rPr>
          <w:rStyle w:val="FootnoteReference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D404D5" w:rsidRDefault="00D404D5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5">
    <w:p w:rsidR="00D404D5" w:rsidRDefault="00D404D5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6">
    <w:p w:rsidR="00D404D5" w:rsidRDefault="00D404D5" w:rsidP="00762451">
      <w:pPr>
        <w:pStyle w:val="FootnoteText"/>
      </w:pPr>
      <w:r>
        <w:rPr>
          <w:rStyle w:val="FootnoteReference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D404D5" w:rsidRDefault="00D404D5">
      <w:pPr>
        <w:pStyle w:val="FootnoteText"/>
      </w:pPr>
      <w:r>
        <w:rPr>
          <w:rStyle w:val="FootnoteReference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D404D5" w:rsidRDefault="00D404D5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284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4F6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0FD9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1321F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A6CB0"/>
    <w:rsid w:val="007B5EEE"/>
    <w:rsid w:val="007C77E2"/>
    <w:rsid w:val="007E17FE"/>
    <w:rsid w:val="007E2FF7"/>
    <w:rsid w:val="007E4AA9"/>
    <w:rsid w:val="008035C3"/>
    <w:rsid w:val="0080646C"/>
    <w:rsid w:val="00811C55"/>
    <w:rsid w:val="00813E62"/>
    <w:rsid w:val="00813E98"/>
    <w:rsid w:val="0081553F"/>
    <w:rsid w:val="00817828"/>
    <w:rsid w:val="0082349B"/>
    <w:rsid w:val="00823DFA"/>
    <w:rsid w:val="008246B5"/>
    <w:rsid w:val="00825D9F"/>
    <w:rsid w:val="00827F43"/>
    <w:rsid w:val="00830E1B"/>
    <w:rsid w:val="00832C5B"/>
    <w:rsid w:val="00833B57"/>
    <w:rsid w:val="008343CD"/>
    <w:rsid w:val="00837319"/>
    <w:rsid w:val="00844536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FCE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1B01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D6093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6C41"/>
    <w:rsid w:val="00CF7460"/>
    <w:rsid w:val="00D0526E"/>
    <w:rsid w:val="00D1442A"/>
    <w:rsid w:val="00D163C6"/>
    <w:rsid w:val="00D203C1"/>
    <w:rsid w:val="00D22156"/>
    <w:rsid w:val="00D22D40"/>
    <w:rsid w:val="00D334D7"/>
    <w:rsid w:val="00D361AD"/>
    <w:rsid w:val="00D404D5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94CB2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C60E7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CA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647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7D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7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7DE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341B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2678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A73B3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A73B3"/>
    <w:rPr>
      <w:rFonts w:ascii="Arial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7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47A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485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95B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5B10"/>
    <w:rPr>
      <w:rFonts w:cs="Times New Roman"/>
    </w:rPr>
  </w:style>
  <w:style w:type="paragraph" w:customStyle="1" w:styleId="ConsPlusTitle">
    <w:name w:val="ConsPlusTitle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Spacing">
    <w:name w:val="No Spacing"/>
    <w:uiPriority w:val="99"/>
    <w:qFormat/>
    <w:rsid w:val="0047516B"/>
  </w:style>
  <w:style w:type="character" w:styleId="PageNumber">
    <w:name w:val="page number"/>
    <w:basedOn w:val="DefaultParagraphFont"/>
    <w:uiPriority w:val="99"/>
    <w:rsid w:val="00122F1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4D60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2D4D6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uiPriority w:val="99"/>
    <w:rsid w:val="00726AEF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uiPriority w:val="99"/>
    <w:rsid w:val="007819E2"/>
  </w:style>
  <w:style w:type="character" w:customStyle="1" w:styleId="29pt">
    <w:name w:val="Основной текст (2) + 9 pt"/>
    <w:uiPriority w:val="99"/>
    <w:rsid w:val="007819E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5F2F29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702526"/>
    <w:pPr>
      <w:ind w:left="720"/>
      <w:contextualSpacing/>
    </w:pPr>
    <w:rPr>
      <w:lang w:eastAsia="en-US"/>
    </w:rPr>
  </w:style>
  <w:style w:type="table" w:customStyle="1" w:styleId="1">
    <w:name w:val="Сетка таблицы1"/>
    <w:uiPriority w:val="99"/>
    <w:rsid w:val="00C647D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6C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5C6AEE570A907A1A662B4E3F5790FB6647759B70E5A88EB97A26E32825B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36</Pages>
  <Words>7645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Лариса</dc:creator>
  <cp:keywords/>
  <dc:description/>
  <cp:lastModifiedBy>User</cp:lastModifiedBy>
  <cp:revision>3</cp:revision>
  <dcterms:created xsi:type="dcterms:W3CDTF">2017-01-26T11:38:00Z</dcterms:created>
  <dcterms:modified xsi:type="dcterms:W3CDTF">2017-01-30T10:23:00Z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